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40</w:t>
      </w:r>
    </w:p>
    <w:p>
      <w:r>
        <w:t>Bundesgericht (BGE), 1996-01-01, FR</w:t>
      </w:r>
    </w:p>
    <w:p>
      <w:r>
        <w:rPr>
          <w:b/>
        </w:rPr>
        <w:t xml:space="preserve">Quelle: </w:t>
      </w:r>
      <w:r>
        <w:t>https://mcp.opencaselaw.ch/entscheid/bge_122 III 40</w:t>
      </w:r>
    </w:p>
    <w:p>
      <w:r>
        <w:t>FR: ATF 122 III 40</w:t>
      </w:r>
    </w:p>
    <w:p>
      <w:r>
        <w:t>IT: DTF 122 III 40</w:t>
      </w:r>
    </w:p>
    <w:p>
      <w:pPr>
        <w:pStyle w:val="Heading2"/>
      </w:pPr>
      <w:r>
        <w:t>Regeste</w:t>
      </w:r>
    </w:p>
    <w:p>
      <w:r>
        <w:t>Regeste Abschlagsverteilung des Erlöses aus der Verwertung einer pfandbelasteten Liegenschaft; Zuteilung der vom Ersteigerer ab dem Tag der Steigerung bis zu jenem der Bezahlung geschuldeten Zinsen im Falle der Gewährung eines Zahlungstermins. Allein den Grundpfandgläubigern - entsprechend ihren Forderungen - stehen die zwischen der Leistung der Akontozahlung und der aufgeschobenen Bezahlung des Restzuschlagspreises anwachsenden Zinsen zu.</w:t>
      </w:r>
    </w:p>
    <w:p>
      <w:pPr>
        <w:pStyle w:val="Heading2"/>
      </w:pPr>
      <w:r>
        <w:t>Erwägungen</w:t>
      </w:r>
    </w:p>
    <w:p>
      <w:r>
        <w:rPr>
          <w:b/>
        </w:rPr>
        <w:t>E. 2</w:t>
      </w:r>
    </w:p>
    <w:p>
      <w:r>
        <w:t>La décision attaquée se fonde sur une jurisprudence ( ATF 89 III 41 et ATF 94 III 50 ) prévoyant que les intérêts moratoires payés par l'adjudicataire d'un immeuble vendu aux enchères ne sont pas un accessoire du prix de l'adjudication sur lequel les créanciers hypothécaires sont payés par préférence, mais un fruit du produit de la réalisation forcée qui doit être réparti entre tous les créanciers. Cette jurisprudence abandonnait sans motivation une jurisprudence antérieure ( ATF 35 I 850 ss, ATF 37 I 610 ) qui admettait que c'est aux créanciers hypothécaires seuls que doivent revenir les intérêts dus par l'acquéreur du gage dès le jour des enchères jusqu'au jour du paiement, ces intérêts ayant le caractère d'un accessoire du produit du gage et revenant comme tels à tous les créanciers qui ont droit à être couverts par ce produit, au prorata de leurs créances garanties. BGE 122 III 40 S. 42 Dans un arrêt du 28 mars 1979 concernant un concordat par abandon d'actif ( ATF 105 III 88 ), le Tribunal fédéral est revenu aux principes de sa jurisprudence antérieure en jugeant, s'agissant d'intérêts sur des acomptes qui avaient été retenus en raison d'un procès en contestation de l'état de collocation pendant, qu'il était conforme à l'égalité de traitement des créanciers du même rang de disposer des intérêts afférents au produit de la réalisation en faveur des créanciers qui, sans aucune faute de leur part, ont dû attendre plus longtemps que les autres de même rang pour que leurs créances soient éteintes (consid. 2 p. 90). Plus récemment, en 1982, le Tribunal fédéral a dit que les deux arrêts publiés aux ATF 89 III 41 et ATF 94 III 50 n'étaient pas une raison de modifier à nouveau la jurisprudence antérieure - que ces arrêts ne discutaient même pas - et qu'il fallait au contraire maintenir que dans un cas où, à la suite de procès ou pour d'autres raisons, un paiement immédiat n'est pas possible, mais où des montants encaissés doivent être consignés, les intérêts éventuels, qui constituent un accessoire du produit de la réalisation, doivent revenir en premier lieu à ceux d'entre les créanciers qui ont un droit sur le produit de la réalisation: il y a là un dédommagement du fait que ces créanciers n'ont pas pu disposer tout de suite de leur part au produit de la réalisation ( ATF 108 III 26 consid. 3a p. 30; ATF 108 III 31 consid. 2 p. 32). Ainsi, dans la mesure où le paiement ne peut intervenir immédiatement, l'office a le devoir de procéder au placement du produit de l'adjudication, qui vise à garantir au créancier une situation analogue à celle dans laquelle il se serait trouvé s'il avait été désintéressé sans tarder; c'est pourquoi le produit de ce placement doit profiter exclusivement au créancier qui est temporairement privé des fonds qui lui reviennent ( ATF 108 III 31 consid. 3 p. 32). Reposant sur une jurisprudence isolée, formellement remise en cause, et consacrant donc une solution contraire aux règles en vigueur, la décision attaquée ne peut qu'être réformée dans le sens des conclusions de la recourante, dans la mesure où celles-ci ne sont pas dépourvues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